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before="400" w:lineRule="auto"/>
        <w:jc w:val="both"/>
        <w:rPr>
          <w:rFonts w:ascii="Proxima Nova" w:cs="Proxima Nova" w:eastAsia="Proxima Nova" w:hAnsi="Proxima Nova"/>
          <w:i w:val="1"/>
          <w:iCs w:val="1"/>
          <w:color w:val="353744"/>
          <w:sz w:val="48"/>
          <w:szCs w:val="48"/>
        </w:rPr>
      </w:pPr>
      <w:bookmarkStart w:colFirst="0" w:colLast="0" w:name="_7v29kn3sywz3" w:id="0"/>
      <w:bookmarkEnd w:id="0"/>
      <w:r w:rsidDel="00000000" w:rsidR="00000000" w:rsidRPr="00000000">
        <w:rPr>
          <w:rFonts w:ascii="Proxima Nova" w:cs="Proxima Nova" w:eastAsia="Proxima Nova" w:hAnsi="Proxima Nova"/>
          <w:color w:val="353744"/>
          <w:sz w:val="48"/>
          <w:szCs w:val="48"/>
          <w:rtl w:val="0"/>
        </w:rPr>
        <w:t xml:space="preserve">CHARTE D'USAGE DE L'IA -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color w:val="353744"/>
          <w:sz w:val="48"/>
          <w:szCs w:val="48"/>
          <w:rtl w:val="0"/>
        </w:rPr>
        <w:t xml:space="preserve">Modèle</w:t>
        <w:br w:type="textWrapping"/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color w:val="666666"/>
          <w:sz w:val="26"/>
          <w:szCs w:val="26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240" w:before="240" w:lineRule="auto"/>
        <w:ind w:right="600"/>
        <w:jc w:val="both"/>
        <w:rPr>
          <w:i w:val="1"/>
          <w:iCs w:val="1"/>
          <w:color w:val="000000"/>
          <w:sz w:val="26"/>
          <w:szCs w:val="26"/>
        </w:rPr>
      </w:pPr>
      <w:bookmarkStart w:colFirst="0" w:colLast="0" w:name="_kankg4h3m9o2" w:id="1"/>
      <w:bookmarkEnd w:id="1"/>
      <w:r w:rsidDel="00000000" w:rsidR="00000000" w:rsidRPr="00000000">
        <w:rPr>
          <w:rFonts w:ascii="Proxima Nova" w:cs="Proxima Nova" w:eastAsia="Proxima Nova" w:hAnsi="Proxima Nova"/>
          <w:i w:val="1"/>
          <w:iCs w:val="1"/>
          <w:sz w:val="24"/>
          <w:szCs w:val="24"/>
          <w:rtl w:val="0"/>
        </w:rPr>
        <w:t xml:space="preserve">Ce document s’inspire du contenu partagé lors de l’atelier BeEducation du 1er avril 2025, et reprend le format de la Charte du Numérique Responsable de l’INR. Il a été rédigé par Guillaume Gustin (</w:t>
      </w:r>
      <w:hyperlink r:id="rId6">
        <w:r w:rsidDel="00000000" w:rsidR="00000000" w:rsidRPr="00000000">
          <w:rPr>
            <w:rFonts w:ascii="Proxima Nova" w:cs="Proxima Nova" w:eastAsia="Proxima Nova" w:hAnsi="Proxima Nova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hello@pwablo.be</w:t>
        </w:r>
      </w:hyperlink>
      <w:r w:rsidDel="00000000" w:rsidR="00000000" w:rsidRPr="00000000">
        <w:rPr>
          <w:rFonts w:ascii="Proxima Nova" w:cs="Proxima Nova" w:eastAsia="Proxima Nova" w:hAnsi="Proxima Nova"/>
          <w:i w:val="1"/>
          <w:iCs w:val="1"/>
          <w:sz w:val="24"/>
          <w:szCs w:val="24"/>
          <w:rtl w:val="0"/>
        </w:rPr>
        <w:t xml:space="preserve">), avec le soutien rédactionnel de l’outil IA Le Chat développé par Mistral, et est mis à disposition sous licence libre (Creative Commons CC BY 4.0 International) pour toute organisation souhaitant l’adapter à ses propres besoins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sz w:val="26"/>
          <w:szCs w:val="26"/>
          <w:rtl w:val="0"/>
        </w:rPr>
        <w:t xml:space="preserve">.</w:t>
        <w:br w:type="textWrapping"/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ab44"/>
          <w:sz w:val="28"/>
          <w:szCs w:val="28"/>
          <w:rtl w:val="0"/>
        </w:rPr>
        <w:t xml:space="preserve">PRÉAMBULE</w:t>
        <w:br w:type="textWrapping"/>
      </w:r>
      <w:r w:rsidDel="00000000" w:rsidR="00000000" w:rsidRPr="00000000">
        <w:rPr>
          <w:rFonts w:ascii="Proxima Nova" w:cs="Proxima Nova" w:eastAsia="Proxima Nova" w:hAnsi="Proxima Nova"/>
          <w:rtl w:val="0"/>
        </w:rPr>
        <w:br w:type="textWrapping"/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L’intelligence artificielle transforme profondément nos manières de travailler, de communiquer et d’innover. Si elle représente une formidable opportunité pour les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organisations à but non lucratif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, en apportant efficacité, créativité et impact, son usage soulève également de nombreuses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questions environnementales, éthiques, sociales et juridiques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br w:type="textWrapping"/>
        <w:t xml:space="preserve">Son déploiement ne peut se faire à la légère : il nécessite une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approche responsable, transparente et inclusive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, afin d’en maximiser les bénéfices tout en en maîtrisant les risques. Cela implique notamment de veiller à son empreinte écologique, à l’équité de ses usages, à la protection des données, à la transparence des algorithmes et à la place de l’humain dans les processus automatisés.</w:t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Par la signature de cette charte,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nous affirmons notre volonté collective d’adopter une démarche éthique et responsable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dans l’utilisation de l’intelligence artificielle au sein de notre ASBL, au service de notre mission sociale et de l’intérêt général.</w:t>
      </w:r>
    </w:p>
    <w:p w:rsidR="00000000" w:rsidDel="00000000" w:rsidP="00000000" w:rsidRDefault="00000000" w:rsidRPr="00000000" w14:paraId="0000000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ab44"/>
          <w:sz w:val="28"/>
          <w:szCs w:val="28"/>
          <w:rtl w:val="0"/>
        </w:rPr>
        <w:t xml:space="preserve">1. ENVIRONNEMENT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Nous nous engageons à adopter un usage sobre et écologiquement responsable de l’intelligence artificielle.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privilégiant les moteurs de recherche classiques pour les requêtes simples, et en réservant l’IA aux situations où elle apporte une réelle valeur ajoutée.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concentrant son usage sur des applications qui contribuent directement à notre impact social et à nos objectifs organisationnels.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formulant des requêtes précises et ciblées, afin de limiter la consommation énergétique liée à leur traitement.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choisissant des outils d’IA adaptés à nos besoins concrets, afin d’éviter tout recours excessif à des solutions disproportionnées.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restreignant le recours aux usages très énergivores - tels que la génération d’images, de vidéos ou de contenus complexes - aux seuls projets démontrant une réelle plus-value en lien direct avec notre mission sociale.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(Avancé)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En mesurant régulièrement l’empreinte carbone de nos usages grâce à des outils spécialisés comme l'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EcoLogits Calculator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(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Avancé ++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)  En privilégiant des modèles d’IA sobres en ressources et open-source - notamment des versions compactes et quantifiées comme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Mistral 7B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-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déployés localement ou sur un cloud privé alimenté par des énergies renouvelables, pour allier performance, souveraineté des données et empreinte carbone maîtrisée.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ab44"/>
          <w:sz w:val="28"/>
          <w:szCs w:val="28"/>
          <w:rtl w:val="0"/>
        </w:rPr>
        <w:t xml:space="preserve">2. ACCESSIBILITÉ ET INCLUSION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Nous nous engageons à faire de l’intelligence artificielle un levier d’inclusion, et à garantir que son utilisation reste accessible et bénéfique pour toutes et tous.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veillant à ce que nos usages de l’IA ne renforcent pas les fractures numériques existantes, notamment au sein de nos publics les plus vulnérables.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formant nos équipes à une utilisation éclairée, critique et responsable des outils d’IA.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nous assurant que les contenus générés par IA restent pleinement accessibles, y compris pour les personnes en situation de handicap.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mobilisant l’IA comme un outil d’accessibilité et d’inclusion sociale, et non comme un facteur d’exclusion ou de complexification des parcours.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ab44"/>
          <w:sz w:val="28"/>
          <w:szCs w:val="28"/>
          <w:rtl w:val="0"/>
        </w:rPr>
        <w:t xml:space="preserve">3. ÉTHIQUE ET GOUVERNANCE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Nous nous engageons à adopter des pratiques éthiques, transparentes et responsables dans l’usage de l’intelligence artificielle.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respectant scrupuleusement le RGPD et la protection des données personnelles dans tous nos traitements impliquant l’IA.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restant vigilants face aux biais algorithmiques et aux limites des systèmes d’IA que nous utilisons.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définissant des règles claires sur ce qui peut être délégué à l’IA et ce qui doit rester du ressort de l’intervention humaine.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vérifiant systématiquement les contenus générés par l’IA avant toute diffusion externe, afin d’en garantir la qualité, la fiabilité et la conformité éthique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ab44"/>
          <w:sz w:val="28"/>
          <w:szCs w:val="28"/>
          <w:rtl w:val="0"/>
        </w:rPr>
        <w:t xml:space="preserve">4. TRANSPARENCE ET CONFIANCE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Nous nous engageons à faire preuve de transparence sur notre utilisation de l’IA, afin de renforcer la confiance de nos parties prenantes.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informant clairement nos publics et partenaires lorsque l’IA est utilisée dans nos contenus, services ou communications.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expliquant nos choix d’outils IA et leurs implications concrètes pour notre mission sociale.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partageant nos apprentissages, réussites et limites avec d’autres ASBL et acteurs du secteur.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mettant en place des mécanismes de retour, d’alerte ou de correction en cas d’usage inadapté, problématique ou involontaire de l’IA.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ab44"/>
          <w:sz w:val="28"/>
          <w:szCs w:val="28"/>
          <w:rtl w:val="0"/>
        </w:rPr>
        <w:t xml:space="preserve">5. INNOVATION RESPONSABLE</w:t>
        <w:br w:type="textWrapping"/>
        <w:br w:type="textWrapping"/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Nous nous engageons à utiliser l’intelligence artificielle comme un levier d’innovation sociale, au service de notre mission et de nos bénéficiaires.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explorant des applications concrètes de l’IA qui renforcent notre impact social réel sur le terrain.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évaluant régulièrement la plus-value effective des outils IA pour nos activités, nos publics et nos résultats.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gardant l’humain au centre de toutes nos démarches : l’IA reste un outil, jamais un substitut à notre engagement.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contribuant activement aux réflexions collectives sur l’encadrement éthique de l’IA dans le secteur non-marchand et associatif.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ab44"/>
          <w:sz w:val="28"/>
          <w:szCs w:val="28"/>
          <w:rtl w:val="0"/>
        </w:rPr>
        <w:t xml:space="preserve">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signant cette charte, notre ASBL __________________ s’engage à mettre en œuvre ces principes dans ses pratiques et à les faire évoluer régulièrement, à la lumière des avancées technologiques, des usages émergents et des enjeux éthiques nouveaux.</w:t>
      </w:r>
    </w:p>
    <w:p w:rsidR="00000000" w:rsidDel="00000000" w:rsidP="00000000" w:rsidRDefault="00000000" w:rsidRPr="00000000" w14:paraId="0000002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Date: _______________</w:t>
      </w:r>
    </w:p>
    <w:p w:rsidR="00000000" w:rsidDel="00000000" w:rsidP="00000000" w:rsidRDefault="00000000" w:rsidRPr="00000000" w14:paraId="0000002F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br w:type="textWrapping"/>
      </w:r>
    </w:p>
    <w:p w:rsidR="00000000" w:rsidDel="00000000" w:rsidP="00000000" w:rsidRDefault="00000000" w:rsidRPr="00000000" w14:paraId="0000003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Signature: _______________</w:t>
      </w:r>
    </w:p>
    <w:p w:rsidR="00000000" w:rsidDel="00000000" w:rsidP="00000000" w:rsidRDefault="00000000" w:rsidRPr="00000000" w14:paraId="0000003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12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ello@pwablo.be" TargetMode="External"/><Relationship Id="rId7" Type="http://schemas.openxmlformats.org/officeDocument/2006/relationships/hyperlink" Target="https://huggingface.co/spaces/genai-impact/ecologits-calculato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